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841" w:rsidRDefault="00944841" w:rsidP="00944841">
      <w:pPr>
        <w:jc w:val="center"/>
        <w:rPr>
          <w:b/>
          <w:sz w:val="28"/>
          <w:szCs w:val="28"/>
        </w:rPr>
      </w:pPr>
      <w:r w:rsidRPr="009D4665">
        <w:rPr>
          <w:b/>
          <w:sz w:val="28"/>
          <w:szCs w:val="28"/>
        </w:rPr>
        <w:t>Координаты в картографических проекциях</w:t>
      </w:r>
    </w:p>
    <w:p w:rsidR="00944841" w:rsidRDefault="00944841" w:rsidP="00944841">
      <w:pPr>
        <w:jc w:val="center"/>
        <w:rPr>
          <w:b/>
          <w:sz w:val="28"/>
          <w:szCs w:val="28"/>
        </w:rPr>
      </w:pPr>
    </w:p>
    <w:p w:rsidR="00944841" w:rsidRDefault="00944841" w:rsidP="00944841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9D4665">
        <w:rPr>
          <w:sz w:val="28"/>
          <w:szCs w:val="28"/>
        </w:rPr>
        <w:t>Эллипсоидные</w:t>
      </w:r>
      <w:r>
        <w:rPr>
          <w:sz w:val="28"/>
          <w:szCs w:val="28"/>
        </w:rPr>
        <w:t xml:space="preserve"> координаты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, L часто преобразуются в плоские координаты </w:t>
      </w:r>
      <w:proofErr w:type="spellStart"/>
      <w:r>
        <w:rPr>
          <w:sz w:val="28"/>
          <w:szCs w:val="28"/>
        </w:rPr>
        <w:t>х</w:t>
      </w:r>
      <w:proofErr w:type="spellEnd"/>
      <w:r>
        <w:rPr>
          <w:sz w:val="28"/>
          <w:szCs w:val="28"/>
        </w:rPr>
        <w:t xml:space="preserve">, у в некоторой проекции. Существует множество картографических проекций, которые помогают отобразить сложную кривизну эллипсоида на плоской карте без больших искажений. Обычно для съемок и картографирования используются конформные проекции, в которых угол на эллипсоиде, образованный парой геодезических линий, сохраняется без искажения. Однако сами геодезические линии в проекции изображаются кривыми линиями. Классами конформных проекций являются </w:t>
      </w:r>
      <w:proofErr w:type="gramStart"/>
      <w:r>
        <w:rPr>
          <w:sz w:val="28"/>
          <w:szCs w:val="28"/>
        </w:rPr>
        <w:t>следующие</w:t>
      </w:r>
      <w:proofErr w:type="gramEnd"/>
      <w:r>
        <w:rPr>
          <w:sz w:val="28"/>
          <w:szCs w:val="28"/>
        </w:rPr>
        <w:t>.</w:t>
      </w:r>
    </w:p>
    <w:p w:rsidR="00944841" w:rsidRDefault="00944841" w:rsidP="0094484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Коническая проекция образуется разверткой конуса, касающегося эллипсоида на некоторой стандартной параллели или широте. После развёртки конуса меридианы изображаются прямыми линиями, сходящимися к вершине, которая также является центров кругов, представляющих параллели. Одним из типов таких проекций является проекция Ламберта.</w:t>
      </w:r>
    </w:p>
    <w:p w:rsidR="00944841" w:rsidRDefault="00944841" w:rsidP="0094484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Азимутальная проекция представляет случай конической проекции, у которой вершина конуса является полюсом, а конус вырождается в плоскость, касающуюся полюса. Поэтому полюс является центром окружностей, представляющих параллели, и прямых линий, представляющих меридианы. Примером такой проекции является стереографическая проекция.</w:t>
      </w:r>
    </w:p>
    <w:p w:rsidR="00944841" w:rsidRDefault="00944841" w:rsidP="0094484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Особым случаем конической проекции является продольная цилиндрическая проекция, у которой вершина находится в бесконечности, так что конус становится цилиндром, который касается экватора. После развёртывания цилиндра экватор изображается без искажения. Поперечная проекция Меркатора (</w:t>
      </w:r>
      <w:r>
        <w:rPr>
          <w:sz w:val="28"/>
          <w:szCs w:val="28"/>
          <w:lang w:val="en-US"/>
        </w:rPr>
        <w:t>UTM</w:t>
      </w:r>
      <w:r>
        <w:rPr>
          <w:sz w:val="28"/>
          <w:szCs w:val="28"/>
        </w:rPr>
        <w:t>) – наиболее широко используемая из всех проекций. При поперечном расположении цилиндр касается Земли по осевому меридиану.</w:t>
      </w:r>
    </w:p>
    <w:p w:rsidR="00944841" w:rsidRDefault="00944841" w:rsidP="0094484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обычной поперечной проекции Меркатора (ТМ) стандартный меридиан (или осевой меридиан) изображается без искажения. Осевой меридиан является осью </w:t>
      </w:r>
      <w:proofErr w:type="spellStart"/>
      <w:r w:rsidRPr="00840ED4">
        <w:rPr>
          <w:i/>
          <w:sz w:val="28"/>
          <w:szCs w:val="28"/>
        </w:rPr>
        <w:t>y</w:t>
      </w:r>
      <w:proofErr w:type="spellEnd"/>
      <w:r>
        <w:rPr>
          <w:sz w:val="28"/>
          <w:szCs w:val="28"/>
        </w:rPr>
        <w:t xml:space="preserve"> (в направлении на север), а ось </w:t>
      </w:r>
      <w:proofErr w:type="spellStart"/>
      <w:r w:rsidRPr="00840ED4">
        <w:rPr>
          <w:i/>
          <w:sz w:val="28"/>
          <w:szCs w:val="28"/>
        </w:rPr>
        <w:t>х</w:t>
      </w:r>
      <w:proofErr w:type="spellEnd"/>
      <w:r>
        <w:rPr>
          <w:sz w:val="28"/>
          <w:szCs w:val="28"/>
        </w:rPr>
        <w:t xml:space="preserve"> является изображением экватора. Эллипсоид разделён на 120 зон по 3° по долготе, каждая с осевым меридианом в центре зоны. При удалении точки от осевого меридиана искажения возрастают, поскольку увеличивается  масштабный коэффициент. Модификацией ТМ является 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UTM</w:t>
      </w:r>
      <w:r>
        <w:rPr>
          <w:sz w:val="28"/>
          <w:szCs w:val="28"/>
        </w:rPr>
        <w:t>. В ней эллипсоид разделён на 60 зон, каждая по 6° шириной по долготе. Кроме того, масштаб на осевом меридиане равен 0.9996. Счет зон ведется от меридиана 180° на восток.</w:t>
      </w:r>
    </w:p>
    <w:p w:rsidR="00944841" w:rsidRDefault="00944841" w:rsidP="0094484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России и странах СНГ широко распространена проекция </w:t>
      </w:r>
      <w:proofErr w:type="spellStart"/>
      <w:r>
        <w:rPr>
          <w:sz w:val="28"/>
          <w:szCs w:val="28"/>
        </w:rPr>
        <w:t>Гаусса-Крюгера</w:t>
      </w:r>
      <w:proofErr w:type="spellEnd"/>
      <w:r>
        <w:rPr>
          <w:sz w:val="28"/>
          <w:szCs w:val="28"/>
        </w:rPr>
        <w:t xml:space="preserve">. Её отличие от поперечной проекции Меркатора состоит в том, что масштаб на осевом меридиане равен единице. Абсцисса </w:t>
      </w:r>
      <w:proofErr w:type="spellStart"/>
      <w:r w:rsidRPr="009F0BCB">
        <w:rPr>
          <w:i/>
          <w:sz w:val="28"/>
          <w:szCs w:val="28"/>
        </w:rPr>
        <w:t>х</w:t>
      </w:r>
      <w:proofErr w:type="spellEnd"/>
      <w:r>
        <w:rPr>
          <w:sz w:val="28"/>
          <w:szCs w:val="28"/>
        </w:rPr>
        <w:t xml:space="preserve"> направлена от экватора к северному полюсу вдоль осевого меридиана, а ордината </w:t>
      </w:r>
      <w:proofErr w:type="gramStart"/>
      <w:r w:rsidRPr="009F0BCB">
        <w:rPr>
          <w:i/>
          <w:sz w:val="28"/>
          <w:szCs w:val="28"/>
        </w:rPr>
        <w:t>у</w:t>
      </w:r>
      <w:proofErr w:type="gramEnd"/>
      <w:r w:rsidRPr="009F0BCB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представляет удаление от осевого меридиана. Чтобы избежать появление </w:t>
      </w:r>
      <w:r>
        <w:rPr>
          <w:sz w:val="28"/>
          <w:szCs w:val="28"/>
        </w:rPr>
        <w:lastRenderedPageBreak/>
        <w:t xml:space="preserve">отрицательных ординат, значение </w:t>
      </w:r>
      <w:proofErr w:type="gramStart"/>
      <w:r w:rsidRPr="009F0BCB">
        <w:rPr>
          <w:i/>
          <w:sz w:val="28"/>
          <w:szCs w:val="28"/>
        </w:rPr>
        <w:t>у</w:t>
      </w:r>
      <w:proofErr w:type="gramEnd"/>
      <w:r w:rsidRPr="009F0BCB">
        <w:rPr>
          <w:i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для</w:t>
      </w:r>
      <w:proofErr w:type="gramEnd"/>
      <w:r>
        <w:rPr>
          <w:sz w:val="28"/>
          <w:szCs w:val="28"/>
        </w:rPr>
        <w:t xml:space="preserve"> точки на осевом меридиане равняется </w:t>
      </w:r>
      <w:smartTag w:uri="urn:schemas-microsoft-com:office:smarttags" w:element="metricconverter">
        <w:smartTagPr>
          <w:attr w:name="ProductID" w:val="500 км"/>
        </w:smartTagPr>
        <w:r>
          <w:rPr>
            <w:sz w:val="28"/>
            <w:szCs w:val="28"/>
          </w:rPr>
          <w:t>500 км</w:t>
        </w:r>
      </w:smartTag>
      <w:r>
        <w:rPr>
          <w:sz w:val="28"/>
          <w:szCs w:val="28"/>
        </w:rPr>
        <w:t>. Счет зон ведется от меридиана Гринвича на восток.</w:t>
      </w:r>
    </w:p>
    <w:p w:rsidR="00944841" w:rsidRDefault="00944841" w:rsidP="0094484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Детальные выражения, определяющие конформное отображение для различных систем проекций, можно найти в многочисленной литературе, а также в ГОСТ, например, </w:t>
      </w:r>
      <w:r w:rsidRPr="009F0BCB">
        <w:rPr>
          <w:sz w:val="28"/>
          <w:szCs w:val="28"/>
        </w:rPr>
        <w:t>[</w:t>
      </w:r>
      <w:r>
        <w:rPr>
          <w:sz w:val="28"/>
          <w:szCs w:val="28"/>
        </w:rPr>
        <w:t xml:space="preserve">ГОСТ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51794-2001</w:t>
      </w:r>
      <w:r w:rsidRPr="009F0BCB">
        <w:rPr>
          <w:sz w:val="28"/>
          <w:szCs w:val="28"/>
        </w:rPr>
        <w:t>]</w:t>
      </w:r>
      <w:r>
        <w:rPr>
          <w:sz w:val="28"/>
          <w:szCs w:val="28"/>
        </w:rPr>
        <w:t xml:space="preserve">. </w:t>
      </w:r>
    </w:p>
    <w:p w:rsidR="00944841" w:rsidRDefault="00944841" w:rsidP="00944841">
      <w:pPr>
        <w:rPr>
          <w:sz w:val="28"/>
          <w:szCs w:val="28"/>
        </w:rPr>
      </w:pPr>
    </w:p>
    <w:p w:rsidR="00944841" w:rsidRDefault="00944841" w:rsidP="00944841">
      <w:pPr>
        <w:jc w:val="center"/>
        <w:rPr>
          <w:b/>
          <w:sz w:val="28"/>
          <w:szCs w:val="28"/>
        </w:rPr>
      </w:pPr>
      <w:r w:rsidRPr="00064035">
        <w:rPr>
          <w:b/>
          <w:sz w:val="28"/>
          <w:szCs w:val="28"/>
        </w:rPr>
        <w:t>Связь между земными системами координат</w:t>
      </w:r>
    </w:p>
    <w:p w:rsidR="00944841" w:rsidRDefault="00944841" w:rsidP="00944841">
      <w:pPr>
        <w:jc w:val="center"/>
        <w:rPr>
          <w:b/>
          <w:sz w:val="28"/>
          <w:szCs w:val="28"/>
        </w:rPr>
      </w:pPr>
    </w:p>
    <w:p w:rsidR="00944841" w:rsidRDefault="00944841" w:rsidP="00944841">
      <w:pPr>
        <w:jc w:val="center"/>
        <w:rPr>
          <w:sz w:val="28"/>
          <w:szCs w:val="28"/>
        </w:rPr>
      </w:pPr>
      <w:r w:rsidRPr="00064035">
        <w:rPr>
          <w:sz w:val="28"/>
          <w:szCs w:val="28"/>
        </w:rPr>
        <w:t>2.9.2</w:t>
      </w:r>
      <w:r>
        <w:rPr>
          <w:sz w:val="28"/>
          <w:szCs w:val="28"/>
        </w:rPr>
        <w:t xml:space="preserve"> Связь геодезических координат</w:t>
      </w:r>
    </w:p>
    <w:p w:rsidR="00944841" w:rsidRDefault="00944841" w:rsidP="00944841">
      <w:pPr>
        <w:jc w:val="center"/>
        <w:rPr>
          <w:sz w:val="28"/>
          <w:szCs w:val="28"/>
        </w:rPr>
      </w:pPr>
    </w:p>
    <w:p w:rsidR="00944841" w:rsidRDefault="00944841" w:rsidP="0094484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Очень часто используется преобразование, при котором геодезические координаты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>, L, Н в системе СК2 получаются через координаты в системе СК1, минуя переход к прямоугольным координатам:</w:t>
      </w:r>
    </w:p>
    <w:p w:rsidR="00944841" w:rsidRDefault="00944841" w:rsidP="00944841">
      <w:pPr>
        <w:jc w:val="both"/>
        <w:rPr>
          <w:sz w:val="28"/>
          <w:szCs w:val="28"/>
        </w:rPr>
      </w:pPr>
    </w:p>
    <w:p w:rsidR="00944841" w:rsidRDefault="00944841" w:rsidP="0094484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 w:rsidRPr="00064035">
        <w:rPr>
          <w:position w:val="-50"/>
          <w:sz w:val="28"/>
          <w:szCs w:val="28"/>
        </w:rPr>
        <w:object w:dxaOrig="2180" w:dyaOrig="11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.55pt;height:56.95pt" o:ole="">
            <v:imagedata r:id="rId4" o:title=""/>
          </v:shape>
          <o:OLEObject Type="Embed" ProgID="Equation.3" ShapeID="_x0000_i1025" DrawAspect="Content" ObjectID="_1570907153" r:id="rId5"/>
        </w:object>
      </w:r>
      <w:r>
        <w:rPr>
          <w:sz w:val="28"/>
          <w:szCs w:val="28"/>
        </w:rPr>
        <w:t>.                                               (2.40)</w:t>
      </w:r>
    </w:p>
    <w:p w:rsidR="00944841" w:rsidRDefault="00944841" w:rsidP="00944841">
      <w:pPr>
        <w:jc w:val="center"/>
        <w:rPr>
          <w:sz w:val="28"/>
          <w:szCs w:val="28"/>
        </w:rPr>
      </w:pPr>
    </w:p>
    <w:p w:rsidR="00944841" w:rsidRPr="00064035" w:rsidRDefault="00944841" w:rsidP="0094484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Поправки</w:t>
      </w:r>
      <w:proofErr w:type="gramStart"/>
      <w:r>
        <w:rPr>
          <w:sz w:val="28"/>
          <w:szCs w:val="28"/>
        </w:rPr>
        <w:t xml:space="preserve"> ∆В</w:t>
      </w:r>
      <w:proofErr w:type="gramEnd"/>
      <w:r>
        <w:rPr>
          <w:sz w:val="28"/>
          <w:szCs w:val="28"/>
        </w:rPr>
        <w:t xml:space="preserve">, ∆L, ∆Н являются не только функциями параметров связи координатных систем, но также зависят от изменения размеров и формы </w:t>
      </w:r>
      <w:proofErr w:type="spellStart"/>
      <w:r>
        <w:rPr>
          <w:sz w:val="28"/>
          <w:szCs w:val="28"/>
        </w:rPr>
        <w:t>референц-эллипсоидов</w:t>
      </w:r>
      <w:proofErr w:type="spellEnd"/>
      <w:r>
        <w:rPr>
          <w:sz w:val="28"/>
          <w:szCs w:val="28"/>
        </w:rPr>
        <w:t xml:space="preserve">, и, следовательно, должны содержать девять параметров. Вероятно, первое появление в печати данных формул было сделано в Трудах </w:t>
      </w:r>
      <w:proofErr w:type="spellStart"/>
      <w:r>
        <w:rPr>
          <w:sz w:val="28"/>
          <w:szCs w:val="28"/>
        </w:rPr>
        <w:t>ЦНИИГАиК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вып</w:t>
      </w:r>
      <w:proofErr w:type="spellEnd"/>
      <w:r>
        <w:rPr>
          <w:sz w:val="28"/>
          <w:szCs w:val="28"/>
        </w:rPr>
        <w:t xml:space="preserve">. </w:t>
      </w:r>
      <w:smartTag w:uri="urn:schemas-microsoft-com:office:smarttags" w:element="metricconverter">
        <w:smartTagPr>
          <w:attr w:name="ProductID" w:val="131, М"/>
        </w:smartTagPr>
        <w:r>
          <w:rPr>
            <w:sz w:val="28"/>
            <w:szCs w:val="28"/>
          </w:rPr>
          <w:t>131, М</w:t>
        </w:r>
      </w:smartTag>
      <w:r>
        <w:rPr>
          <w:sz w:val="28"/>
          <w:szCs w:val="28"/>
        </w:rPr>
        <w:t xml:space="preserve">.С. </w:t>
      </w:r>
      <w:proofErr w:type="spellStart"/>
      <w:r>
        <w:rPr>
          <w:sz w:val="28"/>
          <w:szCs w:val="28"/>
        </w:rPr>
        <w:t>Молоденским</w:t>
      </w:r>
      <w:proofErr w:type="spellEnd"/>
      <w:r>
        <w:rPr>
          <w:sz w:val="28"/>
          <w:szCs w:val="28"/>
        </w:rPr>
        <w:t xml:space="preserve">, В.Ф. </w:t>
      </w:r>
      <w:proofErr w:type="spellStart"/>
      <w:r>
        <w:rPr>
          <w:sz w:val="28"/>
          <w:szCs w:val="28"/>
        </w:rPr>
        <w:t>Еремеевым</w:t>
      </w:r>
      <w:proofErr w:type="spellEnd"/>
      <w:r>
        <w:rPr>
          <w:sz w:val="28"/>
          <w:szCs w:val="28"/>
        </w:rPr>
        <w:t xml:space="preserve"> и М.И. Юркиной </w:t>
      </w:r>
      <w:r w:rsidRPr="00BD230A">
        <w:rPr>
          <w:sz w:val="28"/>
          <w:szCs w:val="28"/>
        </w:rPr>
        <w:t>[</w:t>
      </w:r>
      <w:proofErr w:type="spellStart"/>
      <w:r>
        <w:rPr>
          <w:sz w:val="28"/>
          <w:szCs w:val="28"/>
        </w:rPr>
        <w:t>Молоденский</w:t>
      </w:r>
      <w:proofErr w:type="spellEnd"/>
      <w:r>
        <w:rPr>
          <w:sz w:val="28"/>
          <w:szCs w:val="28"/>
        </w:rPr>
        <w:t xml:space="preserve"> и др., 1961</w:t>
      </w:r>
      <w:r w:rsidRPr="00BD230A">
        <w:rPr>
          <w:sz w:val="28"/>
          <w:szCs w:val="28"/>
        </w:rPr>
        <w:t>]</w:t>
      </w:r>
      <w:r>
        <w:rPr>
          <w:sz w:val="28"/>
          <w:szCs w:val="28"/>
        </w:rPr>
        <w:t xml:space="preserve">. Однако в них не учитывалось изменение масштаба, то есть они аналогичны 6-параметрическому преобразованию по </w:t>
      </w:r>
      <w:proofErr w:type="spellStart"/>
      <w:r>
        <w:rPr>
          <w:sz w:val="28"/>
          <w:szCs w:val="28"/>
        </w:rPr>
        <w:t>Гельмерту</w:t>
      </w:r>
      <w:proofErr w:type="spellEnd"/>
      <w:r>
        <w:rPr>
          <w:sz w:val="28"/>
          <w:szCs w:val="28"/>
        </w:rPr>
        <w:t xml:space="preserve">. В зарубежной литературе это преобразование называется «метод </w:t>
      </w:r>
      <w:proofErr w:type="spellStart"/>
      <w:r>
        <w:rPr>
          <w:sz w:val="28"/>
          <w:szCs w:val="28"/>
        </w:rPr>
        <w:t>Молоденского</w:t>
      </w:r>
      <w:proofErr w:type="spellEnd"/>
      <w:r>
        <w:rPr>
          <w:sz w:val="28"/>
          <w:szCs w:val="28"/>
        </w:rPr>
        <w:t xml:space="preserve">», например </w:t>
      </w:r>
      <w:r w:rsidRPr="00BD230A">
        <w:rPr>
          <w:sz w:val="28"/>
          <w:szCs w:val="28"/>
        </w:rPr>
        <w:t>[</w:t>
      </w:r>
      <w:proofErr w:type="spellStart"/>
      <w:r>
        <w:rPr>
          <w:sz w:val="28"/>
          <w:szCs w:val="28"/>
          <w:lang w:val="en-US"/>
        </w:rPr>
        <w:t>Botton</w:t>
      </w:r>
      <w:proofErr w:type="spellEnd"/>
      <w:r w:rsidRPr="00BD230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et</w:t>
      </w:r>
      <w:r w:rsidRPr="00BD230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</w:rPr>
        <w:t>.,</w:t>
      </w:r>
      <w:r w:rsidRPr="00BD230A">
        <w:rPr>
          <w:sz w:val="28"/>
          <w:szCs w:val="28"/>
        </w:rPr>
        <w:t xml:space="preserve"> 1997</w:t>
      </w:r>
      <w:r>
        <w:rPr>
          <w:sz w:val="28"/>
          <w:szCs w:val="28"/>
        </w:rPr>
        <w:t>;</w:t>
      </w:r>
      <w:r w:rsidRPr="00BD230A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Harvery</w:t>
      </w:r>
      <w:proofErr w:type="spellEnd"/>
      <w:r w:rsidRPr="00BD230A">
        <w:rPr>
          <w:sz w:val="28"/>
          <w:szCs w:val="28"/>
        </w:rPr>
        <w:t>, 1986]</w:t>
      </w:r>
      <w:r>
        <w:rPr>
          <w:sz w:val="28"/>
          <w:szCs w:val="28"/>
        </w:rPr>
        <w:t xml:space="preserve">, или «стандартные формулы </w:t>
      </w:r>
      <w:proofErr w:type="spellStart"/>
      <w:r>
        <w:rPr>
          <w:sz w:val="28"/>
          <w:szCs w:val="28"/>
        </w:rPr>
        <w:t>Молоденского</w:t>
      </w:r>
      <w:proofErr w:type="spellEnd"/>
      <w:r>
        <w:rPr>
          <w:sz w:val="28"/>
          <w:szCs w:val="28"/>
        </w:rPr>
        <w:t xml:space="preserve">» </w:t>
      </w:r>
      <w:r w:rsidRPr="00BD230A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DMA</w:t>
      </w:r>
      <w:r>
        <w:rPr>
          <w:sz w:val="28"/>
          <w:szCs w:val="28"/>
        </w:rPr>
        <w:t>, 1991</w:t>
      </w:r>
      <w:r w:rsidRPr="00BD230A">
        <w:rPr>
          <w:sz w:val="28"/>
          <w:szCs w:val="28"/>
        </w:rPr>
        <w:t>]</w:t>
      </w:r>
      <w:r>
        <w:rPr>
          <w:sz w:val="28"/>
          <w:szCs w:val="28"/>
        </w:rPr>
        <w:t xml:space="preserve">. Полные формулы преобразования имеют вид </w:t>
      </w:r>
      <w:r>
        <w:rPr>
          <w:sz w:val="28"/>
          <w:szCs w:val="28"/>
          <w:lang w:val="en-US"/>
        </w:rPr>
        <w:t>[</w:t>
      </w:r>
      <w:r>
        <w:rPr>
          <w:sz w:val="28"/>
          <w:szCs w:val="28"/>
        </w:rPr>
        <w:t>Герасимов, 1996</w:t>
      </w:r>
      <w:r>
        <w:rPr>
          <w:sz w:val="28"/>
          <w:szCs w:val="28"/>
          <w:lang w:val="en-US"/>
        </w:rPr>
        <w:t>]</w:t>
      </w:r>
      <w:r>
        <w:rPr>
          <w:sz w:val="28"/>
          <w:szCs w:val="28"/>
        </w:rPr>
        <w:t xml:space="preserve">:  </w:t>
      </w:r>
    </w:p>
    <w:p w:rsidR="00944841" w:rsidRDefault="00944841" w:rsidP="00944841">
      <w:pPr>
        <w:jc w:val="center"/>
        <w:rPr>
          <w:sz w:val="28"/>
          <w:szCs w:val="28"/>
        </w:rPr>
      </w:pPr>
    </w:p>
    <w:p w:rsidR="00944841" w:rsidRDefault="00944841" w:rsidP="00944841">
      <w:pPr>
        <w:rPr>
          <w:sz w:val="28"/>
          <w:szCs w:val="28"/>
        </w:rPr>
      </w:pPr>
      <w:r w:rsidRPr="00650DB1">
        <w:rPr>
          <w:position w:val="-24"/>
          <w:sz w:val="28"/>
          <w:szCs w:val="28"/>
        </w:rPr>
        <w:object w:dxaOrig="7699" w:dyaOrig="660">
          <v:shape id="_x0000_i1026" type="#_x0000_t75" style="width:385.8pt;height:33.3pt" o:ole="">
            <v:imagedata r:id="rId6" o:title=""/>
          </v:shape>
          <o:OLEObject Type="Embed" ProgID="Equation.3" ShapeID="_x0000_i1026" DrawAspect="Content" ObjectID="_1570907154" r:id="rId7"/>
        </w:object>
      </w:r>
    </w:p>
    <w:p w:rsidR="00944841" w:rsidRDefault="00944841" w:rsidP="0094484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DE32D7">
        <w:rPr>
          <w:position w:val="-32"/>
          <w:sz w:val="28"/>
          <w:szCs w:val="28"/>
        </w:rPr>
        <w:object w:dxaOrig="8380" w:dyaOrig="760">
          <v:shape id="_x0000_i1027" type="#_x0000_t75" style="width:419.1pt;height:37.6pt" o:ole="">
            <v:imagedata r:id="rId8" o:title=""/>
          </v:shape>
          <o:OLEObject Type="Embed" ProgID="Equation.3" ShapeID="_x0000_i1027" DrawAspect="Content" ObjectID="_1570907155" r:id="rId9"/>
        </w:object>
      </w:r>
      <w:r>
        <w:rPr>
          <w:sz w:val="28"/>
          <w:szCs w:val="28"/>
        </w:rPr>
        <w:t xml:space="preserve">;  (2.41) </w:t>
      </w:r>
    </w:p>
    <w:p w:rsidR="00944841" w:rsidRDefault="00944841" w:rsidP="0094484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944841" w:rsidRDefault="00944841" w:rsidP="0094484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1C3B25">
        <w:rPr>
          <w:position w:val="-28"/>
          <w:sz w:val="28"/>
          <w:szCs w:val="28"/>
        </w:rPr>
        <w:object w:dxaOrig="7800" w:dyaOrig="660">
          <v:shape id="_x0000_i1028" type="#_x0000_t75" style="width:390.1pt;height:33.3pt" o:ole="">
            <v:imagedata r:id="rId10" o:title=""/>
          </v:shape>
          <o:OLEObject Type="Embed" ProgID="Equation.3" ShapeID="_x0000_i1028" DrawAspect="Content" ObjectID="_1570907156" r:id="rId11"/>
        </w:object>
      </w:r>
      <w:r>
        <w:rPr>
          <w:sz w:val="28"/>
          <w:szCs w:val="28"/>
        </w:rPr>
        <w:t>;    (2.42)</w:t>
      </w:r>
    </w:p>
    <w:p w:rsidR="00944841" w:rsidRDefault="00944841" w:rsidP="00944841">
      <w:pPr>
        <w:rPr>
          <w:sz w:val="28"/>
          <w:szCs w:val="28"/>
        </w:rPr>
      </w:pPr>
    </w:p>
    <w:p w:rsidR="00944841" w:rsidRDefault="00944841" w:rsidP="00944841">
      <w:pPr>
        <w:rPr>
          <w:sz w:val="28"/>
          <w:szCs w:val="28"/>
        </w:rPr>
      </w:pPr>
      <w:r w:rsidRPr="00B82818">
        <w:rPr>
          <w:position w:val="-24"/>
          <w:sz w:val="28"/>
          <w:szCs w:val="28"/>
        </w:rPr>
        <w:object w:dxaOrig="7119" w:dyaOrig="660">
          <v:shape id="_x0000_i1029" type="#_x0000_t75" style="width:355.7pt;height:33.3pt" o:ole="">
            <v:imagedata r:id="rId12" o:title=""/>
          </v:shape>
          <o:OLEObject Type="Embed" ProgID="Equation.3" ShapeID="_x0000_i1029" DrawAspect="Content" ObjectID="_1570907157" r:id="rId13"/>
        </w:object>
      </w:r>
    </w:p>
    <w:p w:rsidR="00944841" w:rsidRDefault="00944841" w:rsidP="0094484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</w:t>
      </w:r>
      <w:r w:rsidRPr="00B82818">
        <w:rPr>
          <w:position w:val="-30"/>
          <w:sz w:val="28"/>
          <w:szCs w:val="28"/>
        </w:rPr>
        <w:object w:dxaOrig="6140" w:dyaOrig="720">
          <v:shape id="_x0000_i1030" type="#_x0000_t75" style="width:307.35pt;height:36.55pt" o:ole="">
            <v:imagedata r:id="rId14" o:title=""/>
          </v:shape>
          <o:OLEObject Type="Embed" ProgID="Equation.3" ShapeID="_x0000_i1030" DrawAspect="Content" ObjectID="_1570907158" r:id="rId15"/>
        </w:object>
      </w:r>
      <w:r>
        <w:rPr>
          <w:sz w:val="28"/>
          <w:szCs w:val="28"/>
        </w:rPr>
        <w:t>.                (2.43)</w:t>
      </w:r>
    </w:p>
    <w:p w:rsidR="00944841" w:rsidRDefault="00944841" w:rsidP="00944841">
      <w:pPr>
        <w:jc w:val="center"/>
        <w:rPr>
          <w:sz w:val="28"/>
          <w:szCs w:val="28"/>
        </w:rPr>
      </w:pPr>
    </w:p>
    <w:p w:rsidR="00944841" w:rsidRDefault="00944841" w:rsidP="00944841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</w:t>
      </w:r>
      <w:r w:rsidRPr="00B535DA">
        <w:rPr>
          <w:position w:val="-12"/>
          <w:sz w:val="28"/>
          <w:szCs w:val="28"/>
        </w:rPr>
        <w:object w:dxaOrig="2380" w:dyaOrig="360">
          <v:shape id="_x0000_i1031" type="#_x0000_t75" style="width:118.2pt;height:17.2pt" o:ole="">
            <v:imagedata r:id="rId16" o:title=""/>
          </v:shape>
          <o:OLEObject Type="Embed" ProgID="Equation.3" ShapeID="_x0000_i1031" DrawAspect="Content" ObjectID="_1570907159" r:id="rId17"/>
        </w:object>
      </w:r>
      <w:r>
        <w:rPr>
          <w:sz w:val="28"/>
          <w:szCs w:val="28"/>
        </w:rPr>
        <w:t>;                                          (2.44)</w:t>
      </w:r>
    </w:p>
    <w:p w:rsidR="00944841" w:rsidRDefault="00944841" w:rsidP="00944841">
      <w:pPr>
        <w:jc w:val="center"/>
        <w:rPr>
          <w:sz w:val="28"/>
          <w:szCs w:val="28"/>
        </w:rPr>
      </w:pPr>
    </w:p>
    <w:p w:rsidR="00944841" w:rsidRDefault="00944841" w:rsidP="0094484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 w:rsidRPr="00B535DA">
        <w:rPr>
          <w:position w:val="-12"/>
          <w:sz w:val="28"/>
          <w:szCs w:val="28"/>
        </w:rPr>
        <w:object w:dxaOrig="2280" w:dyaOrig="440">
          <v:shape id="_x0000_i1032" type="#_x0000_t75" style="width:113.9pt;height:22.55pt" o:ole="">
            <v:imagedata r:id="rId18" o:title=""/>
          </v:shape>
          <o:OLEObject Type="Embed" ProgID="Equation.3" ShapeID="_x0000_i1032" DrawAspect="Content" ObjectID="_1570907160" r:id="rId19"/>
        </w:object>
      </w:r>
      <w:r>
        <w:rPr>
          <w:sz w:val="28"/>
          <w:szCs w:val="28"/>
        </w:rPr>
        <w:t>;                                           (2.45)</w:t>
      </w:r>
    </w:p>
    <w:p w:rsidR="00944841" w:rsidRDefault="00944841" w:rsidP="00944841">
      <w:pPr>
        <w:jc w:val="center"/>
        <w:rPr>
          <w:sz w:val="28"/>
          <w:szCs w:val="28"/>
        </w:rPr>
      </w:pPr>
    </w:p>
    <w:p w:rsidR="00944841" w:rsidRDefault="00944841" w:rsidP="0094484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</w:t>
      </w:r>
      <w:r w:rsidRPr="00B535DA">
        <w:rPr>
          <w:position w:val="-32"/>
          <w:sz w:val="28"/>
          <w:szCs w:val="28"/>
        </w:rPr>
        <w:object w:dxaOrig="1900" w:dyaOrig="700">
          <v:shape id="_x0000_i1033" type="#_x0000_t75" style="width:95.65pt;height:35.45pt" o:ole="">
            <v:imagedata r:id="rId20" o:title=""/>
          </v:shape>
          <o:OLEObject Type="Embed" ProgID="Equation.3" ShapeID="_x0000_i1033" DrawAspect="Content" ObjectID="_1570907161" r:id="rId21"/>
        </w:object>
      </w:r>
      <w:r>
        <w:rPr>
          <w:sz w:val="28"/>
          <w:szCs w:val="28"/>
        </w:rPr>
        <w:t>;                                             (2.46)</w:t>
      </w:r>
    </w:p>
    <w:p w:rsidR="00944841" w:rsidRDefault="00944841" w:rsidP="00944841">
      <w:pPr>
        <w:jc w:val="center"/>
        <w:rPr>
          <w:sz w:val="28"/>
          <w:szCs w:val="28"/>
        </w:rPr>
      </w:pPr>
    </w:p>
    <w:p w:rsidR="00944841" w:rsidRDefault="00944841" w:rsidP="0094484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  <w:r w:rsidRPr="00B535DA">
        <w:rPr>
          <w:position w:val="-42"/>
          <w:sz w:val="28"/>
          <w:szCs w:val="28"/>
        </w:rPr>
        <w:object w:dxaOrig="2180" w:dyaOrig="840">
          <v:shape id="_x0000_i1034" type="#_x0000_t75" style="width:108.55pt;height:41.9pt" o:ole="">
            <v:imagedata r:id="rId22" o:title=""/>
          </v:shape>
          <o:OLEObject Type="Embed" ProgID="Equation.3" ShapeID="_x0000_i1034" DrawAspect="Content" ObjectID="_1570907162" r:id="rId23"/>
        </w:object>
      </w:r>
      <w:r>
        <w:rPr>
          <w:sz w:val="28"/>
          <w:szCs w:val="28"/>
        </w:rPr>
        <w:t xml:space="preserve">.                                            (2.47) </w:t>
      </w:r>
    </w:p>
    <w:p w:rsidR="00944841" w:rsidRDefault="00944841" w:rsidP="00944841">
      <w:pPr>
        <w:jc w:val="center"/>
        <w:rPr>
          <w:sz w:val="28"/>
          <w:szCs w:val="28"/>
        </w:rPr>
      </w:pPr>
    </w:p>
    <w:p w:rsidR="00944841" w:rsidRDefault="00944841" w:rsidP="0094484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Глобальные методы преобразования координат обеспечивают высокую точность при работе с точными координатными системами, например, </w:t>
      </w:r>
      <w:r>
        <w:rPr>
          <w:sz w:val="28"/>
          <w:szCs w:val="28"/>
          <w:lang w:val="en-US"/>
        </w:rPr>
        <w:t>ITRF</w:t>
      </w:r>
      <w:r>
        <w:rPr>
          <w:sz w:val="28"/>
          <w:szCs w:val="28"/>
        </w:rPr>
        <w:t xml:space="preserve">. При трансформировании локальных </w:t>
      </w:r>
      <w:proofErr w:type="spellStart"/>
      <w:r>
        <w:rPr>
          <w:sz w:val="28"/>
          <w:szCs w:val="28"/>
        </w:rPr>
        <w:t>референцных</w:t>
      </w:r>
      <w:proofErr w:type="spellEnd"/>
      <w:r>
        <w:rPr>
          <w:sz w:val="28"/>
          <w:szCs w:val="28"/>
        </w:rPr>
        <w:t xml:space="preserve"> координат ошибки могут значительно возрастать из-за того, что параметры связи координатных систем во многих случаях определяются по ограниченной выборке точек и не могут учитывать нелинейных искажений в сетях. Например, точность перехода из системы ПЗ-90 в СК-42 оценивается в 23 – </w:t>
      </w:r>
      <w:smartTag w:uri="urn:schemas-microsoft-com:office:smarttags" w:element="metricconverter">
        <w:smartTagPr>
          <w:attr w:name="ProductID" w:val="4 м"/>
        </w:smartTagPr>
        <w:r>
          <w:rPr>
            <w:sz w:val="28"/>
            <w:szCs w:val="28"/>
          </w:rPr>
          <w:t>4 м</w:t>
        </w:r>
      </w:smartTag>
      <w:r>
        <w:rPr>
          <w:sz w:val="28"/>
          <w:szCs w:val="28"/>
        </w:rPr>
        <w:t xml:space="preserve"> </w:t>
      </w:r>
      <w:r w:rsidRPr="00BF5043">
        <w:rPr>
          <w:sz w:val="28"/>
          <w:szCs w:val="28"/>
        </w:rPr>
        <w:t>[</w:t>
      </w:r>
      <w:r>
        <w:rPr>
          <w:sz w:val="28"/>
          <w:szCs w:val="28"/>
        </w:rPr>
        <w:t>Основные положения, 1997</w:t>
      </w:r>
      <w:r w:rsidRPr="00BF5043">
        <w:rPr>
          <w:sz w:val="28"/>
          <w:szCs w:val="28"/>
        </w:rPr>
        <w:t>]</w:t>
      </w:r>
      <w:r>
        <w:rPr>
          <w:sz w:val="28"/>
          <w:szCs w:val="28"/>
        </w:rPr>
        <w:t xml:space="preserve">, а из </w:t>
      </w:r>
      <w:r>
        <w:rPr>
          <w:sz w:val="28"/>
          <w:szCs w:val="28"/>
          <w:lang w:val="en-US"/>
        </w:rPr>
        <w:t>WGS</w:t>
      </w:r>
      <w:r>
        <w:rPr>
          <w:sz w:val="28"/>
          <w:szCs w:val="28"/>
        </w:rPr>
        <w:t xml:space="preserve">-84 в СК-42 – 5 – </w:t>
      </w:r>
      <w:smartTag w:uri="urn:schemas-microsoft-com:office:smarttags" w:element="metricconverter">
        <w:smartTagPr>
          <w:attr w:name="ProductID" w:val="7 м"/>
        </w:smartTagPr>
        <w:r>
          <w:rPr>
            <w:sz w:val="28"/>
            <w:szCs w:val="28"/>
          </w:rPr>
          <w:t>7 м</w:t>
        </w:r>
      </w:smartTag>
      <w:r w:rsidRPr="00BF5043">
        <w:rPr>
          <w:sz w:val="28"/>
          <w:szCs w:val="28"/>
        </w:rPr>
        <w:t xml:space="preserve"> [</w:t>
      </w:r>
      <w:r>
        <w:rPr>
          <w:sz w:val="28"/>
          <w:szCs w:val="28"/>
        </w:rPr>
        <w:t>Бойков и др., 1993</w:t>
      </w:r>
      <w:r w:rsidRPr="00BF5043">
        <w:rPr>
          <w:sz w:val="28"/>
          <w:szCs w:val="28"/>
        </w:rPr>
        <w:t>]</w:t>
      </w:r>
      <w:r>
        <w:rPr>
          <w:sz w:val="28"/>
          <w:szCs w:val="28"/>
        </w:rPr>
        <w:t>. Следует также иметь в виду, что с появлением новых реализаций координатных систем повышается точность глобальных методов трансформирования.</w:t>
      </w:r>
    </w:p>
    <w:p w:rsidR="00944841" w:rsidRDefault="00944841" w:rsidP="0094484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преобразования координат в локальных областях пользуются методами, в которых переход от одной системы в другую осуществляется по тем же алгоритмам, какие используются в глобальных методах, но параметры перехода или часть из них определяются по измерениям на опорных точках в рассматриваемой области</w:t>
      </w:r>
      <w:r w:rsidRPr="00BF5043">
        <w:rPr>
          <w:sz w:val="28"/>
          <w:szCs w:val="28"/>
        </w:rPr>
        <w:t xml:space="preserve"> [</w:t>
      </w:r>
      <w:proofErr w:type="spellStart"/>
      <w:r>
        <w:rPr>
          <w:sz w:val="28"/>
          <w:szCs w:val="28"/>
        </w:rPr>
        <w:t>Галазин</w:t>
      </w:r>
      <w:proofErr w:type="spellEnd"/>
      <w:r>
        <w:rPr>
          <w:sz w:val="28"/>
          <w:szCs w:val="28"/>
        </w:rPr>
        <w:t xml:space="preserve"> и др., 1997</w:t>
      </w:r>
      <w:r w:rsidRPr="00BF5043">
        <w:rPr>
          <w:sz w:val="28"/>
          <w:szCs w:val="28"/>
        </w:rPr>
        <w:t>]</w:t>
      </w:r>
      <w:r>
        <w:rPr>
          <w:sz w:val="28"/>
          <w:szCs w:val="28"/>
        </w:rPr>
        <w:t xml:space="preserve">. </w:t>
      </w:r>
    </w:p>
    <w:p w:rsidR="00944841" w:rsidRDefault="00944841" w:rsidP="00944841"/>
    <w:p w:rsidR="003134C8" w:rsidRDefault="003134C8"/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944841"/>
    <w:rsid w:val="00040372"/>
    <w:rsid w:val="0008517F"/>
    <w:rsid w:val="0015422E"/>
    <w:rsid w:val="00300A11"/>
    <w:rsid w:val="003134C8"/>
    <w:rsid w:val="00842AB4"/>
    <w:rsid w:val="00944841"/>
    <w:rsid w:val="009C1933"/>
    <w:rsid w:val="00A82D4E"/>
    <w:rsid w:val="00AF398C"/>
    <w:rsid w:val="00BF33E4"/>
    <w:rsid w:val="00E27B86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8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contextualSpacing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pPr>
      <w:contextualSpacing/>
      <w:jc w:val="both"/>
    </w:pPr>
    <w:rPr>
      <w:rFonts w:eastAsia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  <w:contextualSpacing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val="en-US" w:eastAsia="en-US" w:bidi="en-US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  <w:contextualSpacing/>
      <w:jc w:val="both"/>
    </w:pPr>
    <w:rPr>
      <w:rFonts w:eastAsiaTheme="minorHAnsi" w:cstheme="minorBidi"/>
      <w:sz w:val="28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F398C"/>
    <w:pPr>
      <w:contextualSpacing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  <w:contextualSpacing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851</Words>
  <Characters>4852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2017-10-30T16:15:00Z</dcterms:created>
  <dcterms:modified xsi:type="dcterms:W3CDTF">2017-10-30T16:18:00Z</dcterms:modified>
</cp:coreProperties>
</file>